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2A609" w14:textId="77777777" w:rsidR="00413DCC" w:rsidRPr="00572E74" w:rsidRDefault="00413DCC" w:rsidP="00413DCC">
      <w:pPr>
        <w:jc w:val="center"/>
        <w:outlineLvl w:val="2"/>
        <w:rPr>
          <w:b/>
          <w:bCs/>
          <w:color w:val="000000"/>
          <w:sz w:val="32"/>
          <w:szCs w:val="32"/>
        </w:rPr>
      </w:pPr>
      <w:r w:rsidRPr="00572E74">
        <w:rPr>
          <w:b/>
          <w:bCs/>
          <w:color w:val="000000"/>
          <w:sz w:val="32"/>
          <w:szCs w:val="32"/>
        </w:rPr>
        <w:t>Queen Judy Mbanuzue, DPM</w:t>
      </w:r>
    </w:p>
    <w:p w14:paraId="1AA8A54D" w14:textId="77777777" w:rsidR="00413DCC" w:rsidRPr="00572E74" w:rsidRDefault="00413DCC" w:rsidP="00413DCC">
      <w:pPr>
        <w:jc w:val="center"/>
        <w:outlineLvl w:val="2"/>
        <w:rPr>
          <w:b/>
          <w:bCs/>
          <w:color w:val="000000"/>
        </w:rPr>
      </w:pPr>
      <w:r w:rsidRPr="00572E74">
        <w:rPr>
          <w:b/>
          <w:bCs/>
          <w:color w:val="000000"/>
        </w:rPr>
        <w:t>Curriculum Vitae</w:t>
      </w:r>
    </w:p>
    <w:p w14:paraId="52DA4261" w14:textId="77777777" w:rsidR="00413DCC" w:rsidRPr="00572E74" w:rsidRDefault="000560EE" w:rsidP="00413DC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pict w14:anchorId="460EED06">
          <v:rect id="_x0000_i1025" style="width:0;height:1.5pt" o:hralign="center" o:hrstd="t" o:hr="t" fillcolor="#aca899" stroked="f"/>
        </w:pict>
      </w:r>
    </w:p>
    <w:p w14:paraId="1A31610D" w14:textId="6C811E73" w:rsidR="00413DCC" w:rsidRDefault="0048639A" w:rsidP="00413DC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11411 Lake Arbor Way #205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>Office: (301)430 – 0337</w:t>
      </w:r>
    </w:p>
    <w:p w14:paraId="7364F315" w14:textId="3CE7A020" w:rsidR="00413DCC" w:rsidRDefault="0048639A" w:rsidP="00413DC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Mitchellville, MD 20721</w:t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 w:rsidR="00413DCC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</w:t>
      </w:r>
      <w:r w:rsidR="00413DCC">
        <w:rPr>
          <w:b/>
          <w:bCs/>
          <w:color w:val="000000"/>
          <w:sz w:val="20"/>
          <w:szCs w:val="20"/>
        </w:rPr>
        <w:t>Fax: (301) 542 -0086</w:t>
      </w:r>
    </w:p>
    <w:p w14:paraId="02CE51C9" w14:textId="698FEC6B" w:rsidR="00413DCC" w:rsidRDefault="00413DCC" w:rsidP="00413DC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www.insteppodiatrycenter.com</w:t>
      </w:r>
      <w:r w:rsidRPr="00572E74">
        <w:rPr>
          <w:b/>
          <w:bCs/>
          <w:color w:val="000000"/>
          <w:sz w:val="20"/>
          <w:szCs w:val="20"/>
        </w:rPr>
        <w:tab/>
      </w:r>
      <w:r w:rsidRPr="00572E74">
        <w:rPr>
          <w:b/>
          <w:bCs/>
          <w:color w:val="000000"/>
          <w:sz w:val="20"/>
          <w:szCs w:val="20"/>
        </w:rPr>
        <w:tab/>
      </w:r>
      <w:r w:rsidRPr="00572E74"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        </w:t>
      </w:r>
      <w:r w:rsidR="0048639A">
        <w:rPr>
          <w:b/>
          <w:bCs/>
          <w:color w:val="000000"/>
          <w:sz w:val="20"/>
          <w:szCs w:val="20"/>
        </w:rPr>
        <w:t xml:space="preserve">                              </w:t>
      </w:r>
      <w:r w:rsidR="0048639A">
        <w:rPr>
          <w:b/>
          <w:bCs/>
          <w:color w:val="000000"/>
          <w:sz w:val="20"/>
          <w:szCs w:val="20"/>
        </w:rPr>
        <w:tab/>
        <w:t xml:space="preserve">            qmbanuzue@gmail.com</w:t>
      </w:r>
    </w:p>
    <w:p w14:paraId="402447E3" w14:textId="77777777" w:rsidR="0043778B" w:rsidRDefault="0043778B" w:rsidP="00413DCC">
      <w:pPr>
        <w:rPr>
          <w:b/>
          <w:bCs/>
          <w:color w:val="000000"/>
          <w:sz w:val="20"/>
          <w:szCs w:val="20"/>
        </w:rPr>
      </w:pPr>
    </w:p>
    <w:p w14:paraId="4AE6AE53" w14:textId="77777777" w:rsidR="0043778B" w:rsidRPr="00572E74" w:rsidRDefault="00413DCC" w:rsidP="0043778B">
      <w:pPr>
        <w:rPr>
          <w:b/>
          <w:bCs/>
          <w:color w:val="000000"/>
          <w:sz w:val="22"/>
          <w:szCs w:val="22"/>
          <w:u w:val="single"/>
        </w:rPr>
      </w:pPr>
      <w:r w:rsidRPr="00572E74">
        <w:rPr>
          <w:b/>
          <w:bCs/>
          <w:color w:val="000000"/>
          <w:sz w:val="20"/>
          <w:szCs w:val="20"/>
        </w:rPr>
        <w:tab/>
      </w:r>
      <w:r w:rsidRPr="00572E74">
        <w:rPr>
          <w:b/>
          <w:bCs/>
          <w:color w:val="000000"/>
          <w:sz w:val="20"/>
          <w:szCs w:val="20"/>
        </w:rPr>
        <w:tab/>
      </w:r>
      <w:r w:rsidRPr="00572E74">
        <w:rPr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</w:t>
      </w:r>
      <w:r w:rsidRPr="00572E74">
        <w:rPr>
          <w:b/>
          <w:bCs/>
          <w:color w:val="000000"/>
          <w:sz w:val="20"/>
          <w:szCs w:val="20"/>
        </w:rPr>
        <w:br/>
      </w:r>
      <w:r w:rsidR="0043778B" w:rsidRPr="00572E74">
        <w:rPr>
          <w:b/>
          <w:bCs/>
          <w:color w:val="000000"/>
          <w:sz w:val="22"/>
          <w:szCs w:val="22"/>
          <w:u w:val="single"/>
        </w:rPr>
        <w:t>EDUCATION</w:t>
      </w:r>
    </w:p>
    <w:p w14:paraId="0E9AB3A7" w14:textId="742A062F" w:rsidR="000560EE" w:rsidRPr="00572E74" w:rsidRDefault="000560EE" w:rsidP="000560EE">
      <w:pPr>
        <w:ind w:firstLine="720"/>
        <w:rPr>
          <w:b/>
          <w:bCs/>
          <w:color w:val="000000"/>
          <w:sz w:val="22"/>
          <w:szCs w:val="22"/>
        </w:rPr>
      </w:pPr>
      <w:proofErr w:type="spellStart"/>
      <w:r w:rsidRPr="00572E74">
        <w:rPr>
          <w:b/>
          <w:bCs/>
          <w:color w:val="000000"/>
          <w:sz w:val="22"/>
          <w:szCs w:val="22"/>
        </w:rPr>
        <w:t>Inova</w:t>
      </w:r>
      <w:proofErr w:type="spellEnd"/>
      <w:r w:rsidRPr="00572E74">
        <w:rPr>
          <w:b/>
          <w:bCs/>
          <w:color w:val="000000"/>
          <w:sz w:val="22"/>
          <w:szCs w:val="22"/>
        </w:rPr>
        <w:t xml:space="preserve"> Fairfax Hospital Podiatric Medicine </w:t>
      </w:r>
      <w:r>
        <w:rPr>
          <w:b/>
          <w:bCs/>
          <w:color w:val="000000"/>
          <w:sz w:val="22"/>
          <w:szCs w:val="22"/>
        </w:rPr>
        <w:t>&amp; Surgery Residency,</w:t>
      </w:r>
      <w:r w:rsidRPr="00572E74">
        <w:rPr>
          <w:b/>
          <w:bCs/>
          <w:color w:val="000000"/>
          <w:sz w:val="22"/>
          <w:szCs w:val="22"/>
        </w:rPr>
        <w:t xml:space="preserve"> Falls Church, VA</w:t>
      </w:r>
    </w:p>
    <w:p w14:paraId="5FEAD586" w14:textId="0B3C207B" w:rsidR="000560EE" w:rsidRDefault="000560EE" w:rsidP="000560EE">
      <w:pPr>
        <w:autoSpaceDE w:val="0"/>
        <w:autoSpaceDN w:val="0"/>
        <w:adjustRightInd w:val="0"/>
        <w:ind w:firstLine="720"/>
        <w:rPr>
          <w:i/>
          <w:sz w:val="20"/>
          <w:szCs w:val="20"/>
        </w:rPr>
      </w:pPr>
      <w:r w:rsidRPr="002849AB">
        <w:rPr>
          <w:bCs/>
          <w:i/>
          <w:color w:val="000000"/>
          <w:sz w:val="20"/>
          <w:szCs w:val="20"/>
        </w:rPr>
        <w:t xml:space="preserve">Comprehensive </w:t>
      </w:r>
      <w:r w:rsidRPr="002849AB">
        <w:rPr>
          <w:i/>
          <w:sz w:val="20"/>
          <w:szCs w:val="20"/>
        </w:rPr>
        <w:t xml:space="preserve">training in forefoot and rearfoot surgery at an 833 bed Level 1 Trauma Center </w:t>
      </w:r>
    </w:p>
    <w:p w14:paraId="1CB6B546" w14:textId="77777777" w:rsidR="000560EE" w:rsidRPr="002849AB" w:rsidRDefault="000560EE" w:rsidP="000560EE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0EBA9559" w14:textId="77777777" w:rsidR="0043778B" w:rsidRPr="00572E74" w:rsidRDefault="0043778B" w:rsidP="000560EE">
      <w:pPr>
        <w:ind w:firstLine="72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572E74">
        <w:rPr>
          <w:b/>
          <w:bCs/>
          <w:color w:val="000000"/>
          <w:sz w:val="22"/>
          <w:szCs w:val="22"/>
        </w:rPr>
        <w:t>Scholl College at Rosalind Franklin University of Medicin</w:t>
      </w:r>
      <w:r>
        <w:rPr>
          <w:b/>
          <w:bCs/>
          <w:color w:val="000000"/>
          <w:sz w:val="22"/>
          <w:szCs w:val="22"/>
        </w:rPr>
        <w:t>e and Science, North Chicago, IL</w:t>
      </w:r>
    </w:p>
    <w:p w14:paraId="4FA77424" w14:textId="3867AB8C" w:rsidR="0043778B" w:rsidRPr="00572E74" w:rsidRDefault="0043778B" w:rsidP="0043778B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Doctorate of Podiatric Medicine, June 2008</w:t>
      </w:r>
    </w:p>
    <w:p w14:paraId="661F7559" w14:textId="77777777" w:rsidR="0043778B" w:rsidRPr="00572E74" w:rsidRDefault="0043778B" w:rsidP="0043778B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</w:p>
    <w:p w14:paraId="5FE5C33A" w14:textId="77777777" w:rsidR="0043778B" w:rsidRPr="00572E74" w:rsidRDefault="0043778B" w:rsidP="0043778B">
      <w:pPr>
        <w:rPr>
          <w:b/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/>
          <w:bCs/>
          <w:color w:val="000000"/>
          <w:sz w:val="22"/>
          <w:szCs w:val="22"/>
        </w:rPr>
        <w:t xml:space="preserve">Vanderbilt University, Nashville, TN </w:t>
      </w:r>
    </w:p>
    <w:p w14:paraId="0C7F777E" w14:textId="77777777" w:rsidR="0043778B" w:rsidRDefault="0043778B" w:rsidP="007D2D9D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Bachelor of Science in Mathematics, cum laude, May 2003</w:t>
      </w:r>
    </w:p>
    <w:p w14:paraId="1117D413" w14:textId="77777777" w:rsidR="007D2D9D" w:rsidRPr="007D2D9D" w:rsidRDefault="007D2D9D" w:rsidP="007D2D9D">
      <w:pPr>
        <w:rPr>
          <w:bCs/>
          <w:color w:val="000000"/>
          <w:sz w:val="22"/>
          <w:szCs w:val="22"/>
        </w:rPr>
      </w:pPr>
    </w:p>
    <w:p w14:paraId="5A2F9253" w14:textId="77777777" w:rsidR="0043778B" w:rsidRPr="00572E74" w:rsidRDefault="0043778B" w:rsidP="0043778B">
      <w:pPr>
        <w:ind w:firstLine="72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Continuing Medical Education</w:t>
      </w:r>
    </w:p>
    <w:p w14:paraId="6E0D678C" w14:textId="6847D00D" w:rsidR="0043778B" w:rsidRDefault="0043778B" w:rsidP="0043778B">
      <w:pPr>
        <w:ind w:left="1440" w:right="-720"/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 xml:space="preserve">National Podiatric Medial Association </w:t>
      </w:r>
      <w:r>
        <w:rPr>
          <w:bCs/>
          <w:color w:val="000000"/>
          <w:sz w:val="22"/>
          <w:szCs w:val="22"/>
        </w:rPr>
        <w:t>Scientific</w:t>
      </w:r>
      <w:r w:rsidRPr="00572E74">
        <w:rPr>
          <w:bCs/>
          <w:color w:val="000000"/>
          <w:sz w:val="22"/>
          <w:szCs w:val="22"/>
        </w:rPr>
        <w:t xml:space="preserve"> Conference (Jun 2008, Jun 2010),</w:t>
      </w:r>
      <w:r w:rsidRPr="00572E74">
        <w:rPr>
          <w:sz w:val="22"/>
          <w:szCs w:val="22"/>
        </w:rPr>
        <w:t xml:space="preserve"> Ace DePuy Internal and External Fixation Workshop (Aug 2008), </w:t>
      </w:r>
      <w:r w:rsidRPr="00572E74">
        <w:rPr>
          <w:bCs/>
          <w:color w:val="000000"/>
          <w:sz w:val="22"/>
          <w:szCs w:val="22"/>
        </w:rPr>
        <w:t>Diabetic Limb Salvage Conference (Sept 2008</w:t>
      </w:r>
      <w:r>
        <w:rPr>
          <w:bCs/>
          <w:color w:val="000000"/>
          <w:sz w:val="22"/>
          <w:szCs w:val="22"/>
        </w:rPr>
        <w:t>, Oct 2010</w:t>
      </w:r>
      <w:r w:rsidR="0048639A">
        <w:rPr>
          <w:bCs/>
          <w:color w:val="000000"/>
          <w:sz w:val="22"/>
          <w:szCs w:val="22"/>
        </w:rPr>
        <w:t>, 2012</w:t>
      </w:r>
      <w:r w:rsidRPr="00572E74">
        <w:rPr>
          <w:bCs/>
          <w:color w:val="000000"/>
          <w:sz w:val="22"/>
          <w:szCs w:val="22"/>
        </w:rPr>
        <w:t>), APMA National Convention (Jul 2009</w:t>
      </w:r>
      <w:r w:rsidR="009665FC">
        <w:rPr>
          <w:bCs/>
          <w:color w:val="000000"/>
          <w:sz w:val="22"/>
          <w:szCs w:val="22"/>
        </w:rPr>
        <w:t>, August 2012</w:t>
      </w:r>
      <w:r w:rsidR="0048639A">
        <w:rPr>
          <w:bCs/>
          <w:color w:val="000000"/>
          <w:sz w:val="22"/>
          <w:szCs w:val="22"/>
        </w:rPr>
        <w:t>, 2014</w:t>
      </w:r>
      <w:r w:rsidRPr="00572E74">
        <w:rPr>
          <w:bCs/>
          <w:color w:val="000000"/>
          <w:sz w:val="22"/>
          <w:szCs w:val="22"/>
        </w:rPr>
        <w:t>), Baltimore Limb Deformity (Sept 2010), ACFAS Arthroscopy Course (Nov 2010), International External Fixation Symposium (Dec 2010)</w:t>
      </w:r>
      <w:r w:rsidR="0048639A">
        <w:rPr>
          <w:bCs/>
          <w:color w:val="000000"/>
          <w:sz w:val="22"/>
          <w:szCs w:val="22"/>
        </w:rPr>
        <w:t xml:space="preserve">, </w:t>
      </w:r>
      <w:proofErr w:type="spellStart"/>
      <w:r w:rsidR="0048639A">
        <w:rPr>
          <w:bCs/>
          <w:color w:val="000000"/>
          <w:sz w:val="22"/>
          <w:szCs w:val="22"/>
        </w:rPr>
        <w:t>Healogics</w:t>
      </w:r>
      <w:proofErr w:type="spellEnd"/>
      <w:r w:rsidR="0048639A">
        <w:rPr>
          <w:bCs/>
          <w:color w:val="000000"/>
          <w:sz w:val="22"/>
          <w:szCs w:val="22"/>
        </w:rPr>
        <w:t xml:space="preserve"> Wound Care Training ( 2015)</w:t>
      </w:r>
    </w:p>
    <w:p w14:paraId="134A4732" w14:textId="77777777" w:rsidR="0043778B" w:rsidRPr="00572E74" w:rsidRDefault="0043778B" w:rsidP="0043778B">
      <w:pPr>
        <w:ind w:left="1440" w:right="-720"/>
        <w:rPr>
          <w:bCs/>
          <w:color w:val="000000"/>
          <w:sz w:val="22"/>
          <w:szCs w:val="22"/>
        </w:rPr>
      </w:pPr>
    </w:p>
    <w:p w14:paraId="2399FAD8" w14:textId="77777777" w:rsidR="0043778B" w:rsidRPr="00413DCC" w:rsidRDefault="0043778B" w:rsidP="0043778B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PROFESSIONAL WORK</w:t>
      </w:r>
    </w:p>
    <w:p w14:paraId="6538F45A" w14:textId="77777777" w:rsidR="0043778B" w:rsidRDefault="0043778B" w:rsidP="0043778B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In Step Podiatry Center, Bowie, MD</w:t>
      </w:r>
    </w:p>
    <w:p w14:paraId="55031043" w14:textId="77777777" w:rsidR="0043778B" w:rsidRDefault="0043778B" w:rsidP="0043778B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Owner, Podiatric Surgeon, July 2011 – present</w:t>
      </w:r>
    </w:p>
    <w:p w14:paraId="7193C5EF" w14:textId="0C3685F2" w:rsidR="0043778B" w:rsidRDefault="0043778B" w:rsidP="0043778B">
      <w:pPr>
        <w:rPr>
          <w:i/>
          <w:iCs/>
          <w:sz w:val="20"/>
          <w:szCs w:val="20"/>
        </w:rPr>
      </w:pPr>
      <w:r>
        <w:rPr>
          <w:bCs/>
          <w:color w:val="000000"/>
          <w:sz w:val="22"/>
          <w:szCs w:val="22"/>
        </w:rPr>
        <w:tab/>
      </w:r>
      <w:r w:rsidR="009665FC">
        <w:rPr>
          <w:i/>
          <w:iCs/>
          <w:sz w:val="20"/>
          <w:szCs w:val="20"/>
        </w:rPr>
        <w:t>Specializes</w:t>
      </w:r>
      <w:r w:rsidR="00C03CAD" w:rsidRPr="00AC4FA1">
        <w:rPr>
          <w:i/>
          <w:iCs/>
          <w:sz w:val="20"/>
          <w:szCs w:val="20"/>
        </w:rPr>
        <w:t xml:space="preserve"> in all aspects of primary</w:t>
      </w:r>
      <w:r w:rsidR="00C03CAD">
        <w:rPr>
          <w:i/>
          <w:iCs/>
          <w:sz w:val="20"/>
          <w:szCs w:val="20"/>
        </w:rPr>
        <w:t xml:space="preserve"> podiatric medicine and surgery</w:t>
      </w:r>
    </w:p>
    <w:p w14:paraId="22BD597A" w14:textId="551E5883" w:rsidR="0048639A" w:rsidRDefault="0048639A" w:rsidP="0043778B">
      <w:pPr>
        <w:rPr>
          <w:i/>
          <w:iCs/>
          <w:sz w:val="20"/>
          <w:szCs w:val="20"/>
        </w:rPr>
      </w:pPr>
    </w:p>
    <w:p w14:paraId="08368677" w14:textId="0916FFD3" w:rsidR="0048639A" w:rsidRPr="0048639A" w:rsidRDefault="0048639A" w:rsidP="0043778B">
      <w:pPr>
        <w:rPr>
          <w:b/>
          <w:iCs/>
          <w:sz w:val="22"/>
          <w:szCs w:val="22"/>
        </w:rPr>
      </w:pPr>
      <w:r>
        <w:rPr>
          <w:i/>
          <w:iCs/>
          <w:sz w:val="20"/>
          <w:szCs w:val="20"/>
        </w:rPr>
        <w:tab/>
      </w:r>
      <w:r w:rsidRPr="0048639A">
        <w:rPr>
          <w:b/>
          <w:iCs/>
          <w:sz w:val="22"/>
          <w:szCs w:val="22"/>
        </w:rPr>
        <w:t>Doctors’ Community Hospital, Lanham, MD</w:t>
      </w:r>
    </w:p>
    <w:p w14:paraId="52610709" w14:textId="5F4F300D" w:rsidR="0048639A" w:rsidRPr="0048639A" w:rsidRDefault="0048639A" w:rsidP="0043778B">
      <w:pPr>
        <w:rPr>
          <w:iCs/>
          <w:sz w:val="22"/>
          <w:szCs w:val="22"/>
        </w:rPr>
      </w:pPr>
      <w:r>
        <w:rPr>
          <w:b/>
          <w:iCs/>
          <w:sz w:val="20"/>
          <w:szCs w:val="20"/>
        </w:rPr>
        <w:tab/>
      </w:r>
      <w:r w:rsidRPr="0048639A">
        <w:rPr>
          <w:iCs/>
          <w:sz w:val="22"/>
          <w:szCs w:val="22"/>
        </w:rPr>
        <w:t>Wound Care Consultant, November 2015- present</w:t>
      </w:r>
    </w:p>
    <w:p w14:paraId="7BF33C69" w14:textId="2B26C41C" w:rsidR="0048639A" w:rsidRPr="0048639A" w:rsidRDefault="0048639A" w:rsidP="0043778B">
      <w:pPr>
        <w:rPr>
          <w:bCs/>
          <w:i/>
          <w:color w:val="000000"/>
          <w:sz w:val="22"/>
          <w:szCs w:val="22"/>
        </w:rPr>
      </w:pPr>
      <w:r>
        <w:rPr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>Provide comprehensive wound care management for extensive and complex wounds</w:t>
      </w:r>
    </w:p>
    <w:p w14:paraId="4D1D5BBB" w14:textId="77777777" w:rsidR="0043778B" w:rsidRDefault="0043778B" w:rsidP="0043778B">
      <w:pPr>
        <w:rPr>
          <w:bCs/>
          <w:color w:val="000000"/>
          <w:sz w:val="22"/>
          <w:szCs w:val="22"/>
        </w:rPr>
      </w:pPr>
    </w:p>
    <w:p w14:paraId="7A550326" w14:textId="77777777" w:rsidR="0043778B" w:rsidRDefault="0043778B" w:rsidP="0043778B">
      <w:pPr>
        <w:rPr>
          <w:b/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Home Physicians, Linthicum Heights, MD</w:t>
      </w:r>
    </w:p>
    <w:p w14:paraId="2A66D06D" w14:textId="4184517A" w:rsidR="00413DCC" w:rsidRPr="0043778B" w:rsidRDefault="0043778B" w:rsidP="0043778B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ab/>
      </w:r>
      <w:r w:rsidRPr="00413DCC">
        <w:rPr>
          <w:bCs/>
          <w:color w:val="000000"/>
          <w:sz w:val="22"/>
          <w:szCs w:val="22"/>
        </w:rPr>
        <w:t>Travelling</w:t>
      </w:r>
      <w:r>
        <w:rPr>
          <w:b/>
          <w:bCs/>
          <w:color w:val="000000"/>
          <w:sz w:val="22"/>
          <w:szCs w:val="22"/>
        </w:rPr>
        <w:t xml:space="preserve"> </w:t>
      </w:r>
      <w:r w:rsidR="0048639A">
        <w:rPr>
          <w:bCs/>
          <w:color w:val="000000"/>
          <w:sz w:val="22"/>
          <w:szCs w:val="22"/>
        </w:rPr>
        <w:t>Podiatry, July 2011 – April 2015</w:t>
      </w:r>
    </w:p>
    <w:p w14:paraId="4556B6BF" w14:textId="77777777" w:rsidR="00413DCC" w:rsidRPr="002849AB" w:rsidRDefault="00413DCC" w:rsidP="0043778B">
      <w:pPr>
        <w:rPr>
          <w:bCs/>
          <w:i/>
          <w:color w:val="000000"/>
          <w:sz w:val="20"/>
          <w:szCs w:val="20"/>
        </w:rPr>
      </w:pPr>
      <w:r w:rsidRPr="00572E74">
        <w:rPr>
          <w:bCs/>
          <w:color w:val="000000"/>
          <w:sz w:val="22"/>
          <w:szCs w:val="22"/>
        </w:rPr>
        <w:tab/>
      </w:r>
      <w:r w:rsidR="0043778B" w:rsidRPr="002849AB">
        <w:rPr>
          <w:bCs/>
          <w:i/>
          <w:color w:val="000000"/>
          <w:sz w:val="20"/>
          <w:szCs w:val="20"/>
        </w:rPr>
        <w:t>Facilitate podiatric medical needs to home bound patients</w:t>
      </w:r>
    </w:p>
    <w:p w14:paraId="2AAD8C5D" w14:textId="77777777" w:rsidR="00413DCC" w:rsidRPr="00572E74" w:rsidRDefault="00413DCC" w:rsidP="00413DCC">
      <w:pPr>
        <w:widowControl w:val="0"/>
        <w:rPr>
          <w:b/>
          <w:bCs/>
          <w:color w:val="000000"/>
          <w:sz w:val="22"/>
          <w:szCs w:val="22"/>
        </w:rPr>
      </w:pPr>
      <w:r w:rsidRPr="00572E74">
        <w:rPr>
          <w:b/>
          <w:bCs/>
          <w:color w:val="000000"/>
          <w:sz w:val="22"/>
          <w:szCs w:val="22"/>
        </w:rPr>
        <w:tab/>
      </w:r>
      <w:r w:rsidRPr="00572E74">
        <w:rPr>
          <w:b/>
          <w:bCs/>
          <w:color w:val="000000"/>
          <w:sz w:val="22"/>
          <w:szCs w:val="22"/>
        </w:rPr>
        <w:tab/>
      </w:r>
    </w:p>
    <w:p w14:paraId="484B1255" w14:textId="77777777" w:rsidR="00413DCC" w:rsidRPr="00413DCC" w:rsidRDefault="00413DCC" w:rsidP="00413DCC">
      <w:pPr>
        <w:rPr>
          <w:bCs/>
          <w:color w:val="000000"/>
          <w:sz w:val="22"/>
          <w:szCs w:val="22"/>
        </w:rPr>
      </w:pPr>
    </w:p>
    <w:p w14:paraId="030B1E8D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CREDENTIALS</w:t>
      </w:r>
    </w:p>
    <w:p w14:paraId="5C9FB3BB" w14:textId="77777777" w:rsidR="00413DCC" w:rsidRDefault="00413DCC" w:rsidP="00413DC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</w:p>
    <w:p w14:paraId="75BEE2BA" w14:textId="77777777" w:rsidR="00413DCC" w:rsidRDefault="00413DCC" w:rsidP="00413DC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  <w:t>American Board of Podiatric Surgery</w:t>
      </w:r>
    </w:p>
    <w:p w14:paraId="370CE997" w14:textId="77777777" w:rsidR="00413DCC" w:rsidRDefault="00413DCC" w:rsidP="00413DCC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Board Qualified in Foot Surgery</w:t>
      </w:r>
      <w:r w:rsidR="00C03CAD">
        <w:rPr>
          <w:bCs/>
          <w:color w:val="000000"/>
          <w:sz w:val="22"/>
          <w:szCs w:val="22"/>
        </w:rPr>
        <w:t>, July</w:t>
      </w:r>
      <w:r>
        <w:rPr>
          <w:bCs/>
          <w:color w:val="000000"/>
          <w:sz w:val="22"/>
          <w:szCs w:val="22"/>
        </w:rPr>
        <w:t xml:space="preserve"> 2011</w:t>
      </w:r>
    </w:p>
    <w:p w14:paraId="056A0E9D" w14:textId="77777777" w:rsidR="00413DCC" w:rsidRPr="00254086" w:rsidRDefault="00413DCC" w:rsidP="00413DCC">
      <w:pPr>
        <w:rPr>
          <w:bCs/>
          <w:color w:val="000000"/>
          <w:sz w:val="22"/>
          <w:szCs w:val="22"/>
        </w:rPr>
      </w:pPr>
    </w:p>
    <w:p w14:paraId="50BF5ED2" w14:textId="77777777" w:rsidR="00413DCC" w:rsidRPr="00572E74" w:rsidRDefault="00413DCC" w:rsidP="00413DCC">
      <w:pPr>
        <w:ind w:firstLine="720"/>
        <w:rPr>
          <w:b/>
          <w:bCs/>
          <w:sz w:val="22"/>
          <w:szCs w:val="22"/>
        </w:rPr>
      </w:pPr>
      <w:r w:rsidRPr="00572E74">
        <w:rPr>
          <w:b/>
          <w:bCs/>
          <w:sz w:val="22"/>
          <w:szCs w:val="22"/>
        </w:rPr>
        <w:t xml:space="preserve">State of Maryland </w:t>
      </w:r>
    </w:p>
    <w:p w14:paraId="58A58A8F" w14:textId="77777777" w:rsidR="00413DCC" w:rsidRPr="00572E74" w:rsidRDefault="00413DCC" w:rsidP="00413DCC">
      <w:pPr>
        <w:ind w:firstLine="720"/>
        <w:rPr>
          <w:bCs/>
          <w:sz w:val="22"/>
          <w:szCs w:val="22"/>
        </w:rPr>
      </w:pPr>
      <w:r w:rsidRPr="00572E74">
        <w:rPr>
          <w:bCs/>
          <w:sz w:val="22"/>
          <w:szCs w:val="22"/>
        </w:rPr>
        <w:t>License to Practice Podiatry</w:t>
      </w:r>
      <w:r w:rsidR="00C03CAD" w:rsidRPr="00572E74">
        <w:rPr>
          <w:bCs/>
          <w:sz w:val="22"/>
          <w:szCs w:val="22"/>
        </w:rPr>
        <w:t>, Nov</w:t>
      </w:r>
      <w:r w:rsidRPr="00572E74">
        <w:rPr>
          <w:bCs/>
          <w:sz w:val="22"/>
          <w:szCs w:val="22"/>
        </w:rPr>
        <w:t xml:space="preserve"> 2010-present</w:t>
      </w:r>
    </w:p>
    <w:p w14:paraId="61C17BD8" w14:textId="77777777" w:rsidR="00413DCC" w:rsidRPr="00572E74" w:rsidRDefault="00413DCC" w:rsidP="00413DCC">
      <w:pPr>
        <w:rPr>
          <w:color w:val="000000"/>
          <w:sz w:val="22"/>
          <w:szCs w:val="22"/>
        </w:rPr>
      </w:pPr>
    </w:p>
    <w:p w14:paraId="56B8FCE3" w14:textId="77777777" w:rsidR="00413DCC" w:rsidRPr="00572E74" w:rsidRDefault="00413DCC" w:rsidP="00413DCC">
      <w:pPr>
        <w:ind w:firstLine="720"/>
        <w:rPr>
          <w:b/>
          <w:bCs/>
          <w:color w:val="000000"/>
          <w:sz w:val="22"/>
          <w:szCs w:val="22"/>
        </w:rPr>
      </w:pPr>
      <w:r w:rsidRPr="00572E74">
        <w:rPr>
          <w:b/>
          <w:bCs/>
          <w:color w:val="000000"/>
          <w:sz w:val="22"/>
          <w:szCs w:val="22"/>
        </w:rPr>
        <w:t>Certifications:</w:t>
      </w:r>
    </w:p>
    <w:p w14:paraId="11CA6E21" w14:textId="77777777" w:rsidR="00413DCC" w:rsidRPr="00572E74" w:rsidRDefault="00413DCC" w:rsidP="00413DCC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American Cardiac Life Support </w:t>
      </w:r>
    </w:p>
    <w:p w14:paraId="1DEF9D6A" w14:textId="77777777" w:rsidR="00413DCC" w:rsidRDefault="00413DCC" w:rsidP="00413DCC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Basic Life Support </w:t>
      </w:r>
    </w:p>
    <w:p w14:paraId="0C76B28B" w14:textId="77777777" w:rsidR="00564332" w:rsidRDefault="00564332" w:rsidP="00413DCC">
      <w:pPr>
        <w:rPr>
          <w:color w:val="000000"/>
          <w:sz w:val="22"/>
          <w:szCs w:val="22"/>
        </w:rPr>
      </w:pPr>
    </w:p>
    <w:p w14:paraId="40AC3977" w14:textId="77777777" w:rsidR="009665FC" w:rsidRDefault="009665FC" w:rsidP="00413DCC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lastRenderedPageBreak/>
        <w:t>HOSPITAL AFFILIATIONS</w:t>
      </w:r>
    </w:p>
    <w:p w14:paraId="2A256233" w14:textId="77777777" w:rsidR="009665FC" w:rsidRDefault="009665FC" w:rsidP="00413D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7734FB71" w14:textId="77777777" w:rsidR="009665FC" w:rsidRDefault="009665FC" w:rsidP="00413D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Doctors Community Hospital</w:t>
      </w:r>
    </w:p>
    <w:p w14:paraId="469F11BD" w14:textId="77777777" w:rsidR="00564332" w:rsidRDefault="009665FC" w:rsidP="00413DC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Dimensions Healthcare System</w:t>
      </w:r>
    </w:p>
    <w:p w14:paraId="5F786AE2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  <w:r w:rsidRPr="00572E74">
        <w:rPr>
          <w:b/>
          <w:bCs/>
          <w:color w:val="000000"/>
          <w:sz w:val="22"/>
          <w:szCs w:val="22"/>
          <w:u w:val="single"/>
        </w:rPr>
        <w:t>RESEARCH AND PUBLICATIONS</w:t>
      </w:r>
    </w:p>
    <w:p w14:paraId="29A9372C" w14:textId="77777777" w:rsidR="00413DCC" w:rsidRPr="00572E74" w:rsidRDefault="00413DCC" w:rsidP="00413DCC">
      <w:pPr>
        <w:rPr>
          <w:bCs/>
          <w:color w:val="000000"/>
          <w:sz w:val="22"/>
          <w:szCs w:val="22"/>
          <w:u w:val="single"/>
        </w:rPr>
      </w:pPr>
    </w:p>
    <w:p w14:paraId="5BB64902" w14:textId="77777777" w:rsidR="00413DCC" w:rsidRPr="00572E74" w:rsidRDefault="00C03CAD" w:rsidP="00680F2B">
      <w:pPr>
        <w:ind w:firstLine="720"/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>Steinberg, JS, Keplinger,</w:t>
      </w:r>
      <w:r>
        <w:rPr>
          <w:bCs/>
          <w:color w:val="000000"/>
          <w:sz w:val="22"/>
          <w:szCs w:val="22"/>
        </w:rPr>
        <w:t xml:space="preserve"> </w:t>
      </w:r>
      <w:r w:rsidRPr="00572E74">
        <w:rPr>
          <w:bCs/>
          <w:color w:val="000000"/>
          <w:sz w:val="22"/>
          <w:szCs w:val="22"/>
        </w:rPr>
        <w:t>L M, Mbanuzue, QJ, Sheridan</w:t>
      </w:r>
      <w:r>
        <w:rPr>
          <w:bCs/>
          <w:color w:val="000000"/>
          <w:sz w:val="22"/>
          <w:szCs w:val="22"/>
        </w:rPr>
        <w:t xml:space="preserve"> MJ.  Analysis of Conversion of </w:t>
      </w:r>
      <w:r w:rsidRPr="00572E74">
        <w:rPr>
          <w:bCs/>
          <w:color w:val="000000"/>
          <w:sz w:val="22"/>
          <w:szCs w:val="22"/>
        </w:rPr>
        <w:t xml:space="preserve">Chopart Amputation to </w:t>
      </w:r>
      <w:r>
        <w:rPr>
          <w:bCs/>
          <w:color w:val="000000"/>
          <w:sz w:val="22"/>
          <w:szCs w:val="22"/>
        </w:rPr>
        <w:t>Below t</w:t>
      </w:r>
      <w:r w:rsidRPr="00572E74">
        <w:rPr>
          <w:bCs/>
          <w:color w:val="000000"/>
          <w:sz w:val="22"/>
          <w:szCs w:val="22"/>
        </w:rPr>
        <w:t xml:space="preserve">he Knee Amputation. </w:t>
      </w:r>
      <w:r w:rsidR="00413DCC" w:rsidRPr="00572E74">
        <w:rPr>
          <w:bCs/>
          <w:color w:val="000000"/>
          <w:sz w:val="22"/>
          <w:szCs w:val="22"/>
        </w:rPr>
        <w:t>ACFAS Annual Meeting, Las Vegas, NV. Poster Presentation, Feb 2010.</w:t>
      </w:r>
    </w:p>
    <w:p w14:paraId="7B1BAA23" w14:textId="77777777" w:rsidR="00413DCC" w:rsidRPr="00572E74" w:rsidRDefault="00413DCC" w:rsidP="00413DCC">
      <w:pPr>
        <w:ind w:left="720" w:firstLine="720"/>
        <w:rPr>
          <w:bCs/>
          <w:color w:val="000000"/>
          <w:sz w:val="22"/>
          <w:szCs w:val="22"/>
        </w:rPr>
      </w:pPr>
    </w:p>
    <w:p w14:paraId="6F5B0DCD" w14:textId="77777777" w:rsidR="00413DCC" w:rsidRPr="00572E74" w:rsidRDefault="00413DCC" w:rsidP="00680F2B">
      <w:pPr>
        <w:ind w:firstLine="720"/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>Meyr, AJ, Mbanuzue, QJ, Sheridan, MJ, Kashani AK.</w:t>
      </w:r>
      <w:r w:rsidRPr="00572E74">
        <w:rPr>
          <w:b/>
          <w:bCs/>
          <w:color w:val="000000"/>
          <w:sz w:val="22"/>
          <w:szCs w:val="22"/>
        </w:rPr>
        <w:t xml:space="preserve"> </w:t>
      </w:r>
      <w:r w:rsidRPr="00572E74">
        <w:rPr>
          <w:bCs/>
          <w:color w:val="000000"/>
          <w:sz w:val="22"/>
          <w:szCs w:val="22"/>
        </w:rPr>
        <w:t>Laterality of Surgical Correction of Forefoot Pathology.  J Foot Ankle Surg 48(5):552-555, Sept 2009.</w:t>
      </w:r>
    </w:p>
    <w:p w14:paraId="132D72E0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</w:p>
    <w:p w14:paraId="519CC986" w14:textId="77777777" w:rsidR="00413DCC" w:rsidRPr="00680F2B" w:rsidRDefault="00680F2B" w:rsidP="00680F2B">
      <w:pPr>
        <w:pStyle w:val="BodyText"/>
        <w:tabs>
          <w:tab w:val="left" w:pos="1485"/>
        </w:tabs>
        <w:spacing w:after="0" w:line="240" w:lineRule="auto"/>
        <w:ind w:left="-15" w:firstLine="15"/>
        <w:jc w:val="left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bCs/>
          <w:color w:val="000000"/>
          <w:szCs w:val="22"/>
        </w:rPr>
        <w:t xml:space="preserve">             </w:t>
      </w:r>
      <w:r w:rsidR="00413DCC" w:rsidRPr="00572E74">
        <w:rPr>
          <w:rFonts w:ascii="Times New Roman" w:hAnsi="Times New Roman"/>
          <w:bCs/>
          <w:color w:val="000000"/>
          <w:szCs w:val="22"/>
        </w:rPr>
        <w:t xml:space="preserve">Preliminary work on </w:t>
      </w:r>
      <w:r w:rsidR="00413DCC" w:rsidRPr="00572E74">
        <w:rPr>
          <w:rFonts w:ascii="Times New Roman" w:hAnsi="Times New Roman"/>
          <w:iCs/>
          <w:szCs w:val="22"/>
        </w:rPr>
        <w:t>prevalence of onychomycosis among neuropathic diabetic patients,</w:t>
      </w:r>
      <w:r w:rsidR="00413DCC" w:rsidRPr="00572E74">
        <w:rPr>
          <w:rFonts w:ascii="Times New Roman" w:hAnsi="Times New Roman"/>
          <w:i/>
          <w:iCs/>
          <w:szCs w:val="22"/>
        </w:rPr>
        <w:t xml:space="preserve"> </w:t>
      </w:r>
      <w:r w:rsidR="00413DCC" w:rsidRPr="00572E74">
        <w:rPr>
          <w:rFonts w:ascii="Times New Roman" w:hAnsi="Times New Roman"/>
          <w:iCs/>
          <w:szCs w:val="22"/>
        </w:rPr>
        <w:t>2005.</w:t>
      </w:r>
      <w:r w:rsidR="00413DCC" w:rsidRPr="00572E74">
        <w:rPr>
          <w:rFonts w:ascii="Times New Roman" w:hAnsi="Times New Roman"/>
          <w:bCs/>
          <w:color w:val="000000"/>
          <w:szCs w:val="22"/>
        </w:rPr>
        <w:t>Summer Research Fellowship at Scholl College Clinic,</w:t>
      </w:r>
      <w:r w:rsidR="00413DCC" w:rsidRPr="00572E74">
        <w:rPr>
          <w:rFonts w:ascii="Times New Roman" w:hAnsi="Times New Roman"/>
          <w:iCs/>
          <w:szCs w:val="22"/>
        </w:rPr>
        <w:t>Stephanie Wu,DPM and David Armstrong, DPM</w:t>
      </w:r>
    </w:p>
    <w:p w14:paraId="06EC04D5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</w:rPr>
      </w:pPr>
    </w:p>
    <w:p w14:paraId="2782091E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42A47E0B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  <w:r w:rsidRPr="00572E74">
        <w:rPr>
          <w:b/>
          <w:bCs/>
          <w:color w:val="000000"/>
          <w:sz w:val="22"/>
          <w:szCs w:val="22"/>
          <w:u w:val="single"/>
        </w:rPr>
        <w:t>PRESENTATIONS</w:t>
      </w:r>
    </w:p>
    <w:p w14:paraId="3B84440A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5C32F784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</w:rPr>
      </w:pPr>
      <w:r w:rsidRPr="00572E74">
        <w:rPr>
          <w:b/>
          <w:bCs/>
          <w:color w:val="000000"/>
          <w:sz w:val="22"/>
          <w:szCs w:val="22"/>
        </w:rPr>
        <w:tab/>
        <w:t>Inova Fairfax Podiatry Grand Rounds</w:t>
      </w:r>
    </w:p>
    <w:p w14:paraId="2A4E7286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/>
          <w:bCs/>
          <w:color w:val="000000"/>
          <w:sz w:val="22"/>
          <w:szCs w:val="22"/>
        </w:rPr>
        <w:tab/>
      </w:r>
      <w:r w:rsidRPr="00572E74">
        <w:rPr>
          <w:b/>
          <w:bCs/>
          <w:color w:val="000000"/>
          <w:sz w:val="22"/>
          <w:szCs w:val="22"/>
        </w:rPr>
        <w:tab/>
        <w:t>“</w:t>
      </w:r>
      <w:r w:rsidRPr="00572E74">
        <w:rPr>
          <w:bCs/>
          <w:color w:val="000000"/>
          <w:sz w:val="22"/>
          <w:szCs w:val="22"/>
        </w:rPr>
        <w:t>Toxicity of Local Anesthetics”</w:t>
      </w:r>
    </w:p>
    <w:p w14:paraId="1E8C43EA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“Noninvasive Diagnosis of Chronic Compartment Syndrome “</w:t>
      </w:r>
    </w:p>
    <w:p w14:paraId="06163B8F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“Current Management of Syndesmotic Injuries”</w:t>
      </w:r>
    </w:p>
    <w:p w14:paraId="1DF77E5F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“ Podiatric Application s of Locking Plate Technology”</w:t>
      </w:r>
    </w:p>
    <w:p w14:paraId="3AB7B670" w14:textId="77777777" w:rsidR="00413DCC" w:rsidRPr="00572E74" w:rsidRDefault="00413DCC" w:rsidP="00413DCC">
      <w:pPr>
        <w:rPr>
          <w:bCs/>
          <w:color w:val="000000"/>
          <w:sz w:val="22"/>
          <w:szCs w:val="22"/>
        </w:rPr>
      </w:pPr>
      <w:r w:rsidRPr="00572E74">
        <w:rPr>
          <w:bCs/>
          <w:color w:val="000000"/>
          <w:sz w:val="22"/>
          <w:szCs w:val="22"/>
        </w:rPr>
        <w:tab/>
      </w:r>
      <w:r w:rsidRPr="00572E74">
        <w:rPr>
          <w:bCs/>
          <w:color w:val="000000"/>
          <w:sz w:val="22"/>
          <w:szCs w:val="22"/>
        </w:rPr>
        <w:tab/>
        <w:t>“Perioperative Management of Osteoporosis”</w:t>
      </w:r>
    </w:p>
    <w:p w14:paraId="34DEBBCF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</w:rPr>
      </w:pPr>
    </w:p>
    <w:p w14:paraId="5FD7B4DC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</w:rPr>
      </w:pPr>
      <w:r w:rsidRPr="00572E74">
        <w:rPr>
          <w:b/>
          <w:bCs/>
          <w:color w:val="000000"/>
          <w:sz w:val="22"/>
          <w:szCs w:val="22"/>
          <w:u w:val="single"/>
        </w:rPr>
        <w:t>AWARDS</w:t>
      </w:r>
      <w:r w:rsidRPr="00572E74">
        <w:rPr>
          <w:b/>
          <w:bCs/>
          <w:color w:val="000000"/>
          <w:sz w:val="22"/>
          <w:szCs w:val="22"/>
        </w:rPr>
        <w:t>/</w:t>
      </w:r>
      <w:r w:rsidRPr="00572E74">
        <w:rPr>
          <w:b/>
          <w:bCs/>
          <w:color w:val="000000"/>
          <w:sz w:val="22"/>
          <w:szCs w:val="22"/>
          <w:u w:val="single"/>
        </w:rPr>
        <w:t>HONORS</w:t>
      </w:r>
      <w:r w:rsidRPr="00572E74">
        <w:rPr>
          <w:b/>
          <w:bCs/>
          <w:color w:val="000000"/>
          <w:sz w:val="22"/>
          <w:szCs w:val="22"/>
        </w:rPr>
        <w:t xml:space="preserve">  </w:t>
      </w:r>
    </w:p>
    <w:p w14:paraId="714252C1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186DB977" w14:textId="77777777" w:rsidR="00413DCC" w:rsidRPr="00572E74" w:rsidRDefault="00413DCC" w:rsidP="00413DCC">
      <w:pPr>
        <w:pStyle w:val="Objective"/>
        <w:tabs>
          <w:tab w:val="left" w:pos="720"/>
          <w:tab w:val="left" w:pos="1485"/>
        </w:tabs>
        <w:spacing w:before="0" w:after="0" w:line="240" w:lineRule="auto"/>
        <w:jc w:val="left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 w:val="20"/>
        </w:rPr>
        <w:t xml:space="preserve">           </w:t>
      </w:r>
      <w:r w:rsidRPr="00572E74">
        <w:rPr>
          <w:rFonts w:ascii="Times New Roman" w:hAnsi="Times New Roman"/>
          <w:sz w:val="20"/>
        </w:rPr>
        <w:tab/>
      </w:r>
      <w:r w:rsidRPr="00572E74">
        <w:rPr>
          <w:rFonts w:ascii="Times New Roman" w:hAnsi="Times New Roman"/>
          <w:szCs w:val="22"/>
        </w:rPr>
        <w:t>Scholl Merit Scholarship Recipient</w:t>
      </w:r>
    </w:p>
    <w:p w14:paraId="4470CDBE" w14:textId="77777777" w:rsidR="00413DCC" w:rsidRPr="00572E74" w:rsidRDefault="00413DCC" w:rsidP="00413DCC">
      <w:pPr>
        <w:pStyle w:val="BodyText"/>
        <w:tabs>
          <w:tab w:val="left" w:pos="1485"/>
        </w:tabs>
        <w:spacing w:after="0" w:line="240" w:lineRule="auto"/>
        <w:jc w:val="left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             Scholl Swanson Scholarship Recipient</w:t>
      </w:r>
    </w:p>
    <w:p w14:paraId="3691BEC0" w14:textId="77777777" w:rsidR="00413DCC" w:rsidRPr="00572E74" w:rsidRDefault="00413DCC" w:rsidP="00413DCC">
      <w:pPr>
        <w:pStyle w:val="BodyText"/>
        <w:tabs>
          <w:tab w:val="left" w:pos="1485"/>
        </w:tabs>
        <w:spacing w:after="0" w:line="240" w:lineRule="auto"/>
        <w:ind w:left="-15" w:firstLine="15"/>
        <w:jc w:val="left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             RFUMS Student Leadership Award Recipient</w:t>
      </w:r>
    </w:p>
    <w:p w14:paraId="104FA598" w14:textId="77777777" w:rsidR="00413DCC" w:rsidRPr="00572E74" w:rsidRDefault="00413DCC" w:rsidP="00413DCC">
      <w:pPr>
        <w:pStyle w:val="BodyText"/>
        <w:tabs>
          <w:tab w:val="left" w:pos="1485"/>
        </w:tabs>
        <w:spacing w:after="0" w:line="240" w:lineRule="auto"/>
        <w:ind w:left="-15" w:firstLine="15"/>
        <w:jc w:val="left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             RFUMS Professionalism Award Recipient</w:t>
      </w:r>
    </w:p>
    <w:p w14:paraId="5A906387" w14:textId="77777777" w:rsidR="00413DCC" w:rsidRPr="00572E74" w:rsidRDefault="00413DCC" w:rsidP="00413DCC">
      <w:pPr>
        <w:pStyle w:val="BodyText"/>
        <w:tabs>
          <w:tab w:val="left" w:pos="1485"/>
        </w:tabs>
        <w:spacing w:after="0" w:line="240" w:lineRule="auto"/>
        <w:ind w:left="-15" w:firstLine="15"/>
        <w:jc w:val="left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             APMA Scholarship Recipient</w:t>
      </w:r>
    </w:p>
    <w:p w14:paraId="70470B6E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  <w:r w:rsidRPr="00572E74">
        <w:rPr>
          <w:sz w:val="22"/>
          <w:szCs w:val="22"/>
        </w:rPr>
        <w:t xml:space="preserve">             Drs. Harold, Joel and Marc Feder Scholarship Award</w:t>
      </w:r>
    </w:p>
    <w:p w14:paraId="708E6F8C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235A3FFA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585525DF" w14:textId="77777777" w:rsidR="00413DCC" w:rsidRDefault="00413DCC" w:rsidP="00413DCC">
      <w:pPr>
        <w:rPr>
          <w:b/>
          <w:bCs/>
          <w:color w:val="000000"/>
          <w:sz w:val="22"/>
          <w:szCs w:val="22"/>
          <w:u w:val="single"/>
        </w:rPr>
      </w:pPr>
      <w:r w:rsidRPr="00572E74">
        <w:rPr>
          <w:b/>
          <w:bCs/>
          <w:color w:val="000000"/>
          <w:sz w:val="22"/>
          <w:szCs w:val="22"/>
          <w:u w:val="single"/>
        </w:rPr>
        <w:t>PROFESSIONAL AFFILIATIONS/COMMUNITY INVOLVEMENT</w:t>
      </w:r>
    </w:p>
    <w:p w14:paraId="559AC3DD" w14:textId="77777777" w:rsidR="00413DCC" w:rsidRPr="00413DCC" w:rsidRDefault="00413DCC" w:rsidP="00413DCC">
      <w:pPr>
        <w:rPr>
          <w:b/>
          <w:bCs/>
          <w:color w:val="000000"/>
          <w:sz w:val="22"/>
          <w:szCs w:val="22"/>
          <w:u w:val="single"/>
        </w:rPr>
      </w:pPr>
    </w:p>
    <w:p w14:paraId="2D58C5AF" w14:textId="77777777" w:rsidR="00413DCC" w:rsidRPr="00F751BD" w:rsidRDefault="00413DCC" w:rsidP="00413DCC">
      <w:pPr>
        <w:rPr>
          <w:sz w:val="22"/>
          <w:szCs w:val="22"/>
        </w:rPr>
      </w:pPr>
      <w:r w:rsidRPr="00572E74">
        <w:rPr>
          <w:b/>
          <w:bCs/>
          <w:color w:val="000000"/>
        </w:rPr>
        <w:tab/>
      </w:r>
      <w:r w:rsidRPr="00572E74">
        <w:rPr>
          <w:b/>
          <w:bCs/>
          <w:color w:val="000000"/>
        </w:rPr>
        <w:tab/>
      </w:r>
      <w:r w:rsidRPr="00F751BD">
        <w:rPr>
          <w:sz w:val="22"/>
          <w:szCs w:val="22"/>
        </w:rPr>
        <w:t>A</w:t>
      </w:r>
      <w:r>
        <w:rPr>
          <w:sz w:val="22"/>
          <w:szCs w:val="22"/>
        </w:rPr>
        <w:t xml:space="preserve">merican Academy of Podiatric </w:t>
      </w:r>
      <w:r w:rsidRPr="00F751BD">
        <w:rPr>
          <w:sz w:val="22"/>
          <w:szCs w:val="22"/>
        </w:rPr>
        <w:t>Practice Management</w:t>
      </w:r>
    </w:p>
    <w:p w14:paraId="41A4A098" w14:textId="77777777" w:rsidR="00413DCC" w:rsidRPr="00572E74" w:rsidRDefault="00413DCC" w:rsidP="00413DCC">
      <w:pPr>
        <w:pStyle w:val="BodyText"/>
        <w:spacing w:after="60" w:line="240" w:lineRule="auto"/>
        <w:ind w:left="720" w:firstLine="720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American College of Foot and Ankle Surgeons </w:t>
      </w:r>
    </w:p>
    <w:p w14:paraId="63B1AEC6" w14:textId="77777777" w:rsidR="00413DCC" w:rsidRPr="00572E74" w:rsidRDefault="00413DCC" w:rsidP="00413DCC">
      <w:pPr>
        <w:pStyle w:val="BodyText"/>
        <w:spacing w:after="60" w:line="240" w:lineRule="auto"/>
        <w:ind w:left="720" w:firstLine="720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>American College of Foot and Orthopedics and Medicine</w:t>
      </w:r>
    </w:p>
    <w:p w14:paraId="328ACDAD" w14:textId="77777777" w:rsidR="00413DCC" w:rsidRPr="00572E74" w:rsidRDefault="00413DCC" w:rsidP="00413DCC">
      <w:pPr>
        <w:pStyle w:val="BodyText"/>
        <w:spacing w:after="60" w:line="240" w:lineRule="auto"/>
        <w:ind w:left="720" w:firstLine="720"/>
        <w:rPr>
          <w:rFonts w:ascii="Times New Roman" w:hAnsi="Times New Roman"/>
          <w:szCs w:val="22"/>
        </w:rPr>
      </w:pPr>
      <w:r w:rsidRPr="00572E74">
        <w:rPr>
          <w:rFonts w:ascii="Times New Roman" w:hAnsi="Times New Roman"/>
          <w:szCs w:val="22"/>
        </w:rPr>
        <w:t xml:space="preserve">American Podiatric Medical Association American </w:t>
      </w:r>
    </w:p>
    <w:p w14:paraId="12014755" w14:textId="77777777" w:rsidR="00413DCC" w:rsidRPr="00572E74" w:rsidRDefault="009665FC" w:rsidP="00413DCC">
      <w:pPr>
        <w:pStyle w:val="BodyText"/>
        <w:spacing w:after="60" w:line="240" w:lineRule="auto"/>
        <w:ind w:left="72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 Podiatric Medical Association</w:t>
      </w:r>
    </w:p>
    <w:p w14:paraId="561A476B" w14:textId="77777777" w:rsidR="00413DCC" w:rsidRPr="00572E74" w:rsidRDefault="00413DCC" w:rsidP="00413DCC">
      <w:pPr>
        <w:rPr>
          <w:b/>
          <w:bCs/>
          <w:color w:val="000000"/>
          <w:sz w:val="22"/>
          <w:szCs w:val="22"/>
        </w:rPr>
      </w:pPr>
    </w:p>
    <w:p w14:paraId="4932AEE9" w14:textId="77777777" w:rsidR="00413DCC" w:rsidRPr="00572E74" w:rsidRDefault="00413DCC" w:rsidP="00413DCC">
      <w:r w:rsidRPr="00572E74">
        <w:rPr>
          <w:b/>
          <w:bCs/>
          <w:color w:val="000000"/>
          <w:sz w:val="22"/>
          <w:szCs w:val="22"/>
        </w:rPr>
        <w:tab/>
      </w:r>
    </w:p>
    <w:p w14:paraId="386CEEB8" w14:textId="77777777" w:rsidR="000B7AD3" w:rsidRDefault="000B7AD3"/>
    <w:sectPr w:rsidR="000B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D5E"/>
    <w:multiLevelType w:val="hybridMultilevel"/>
    <w:tmpl w:val="87845AC4"/>
    <w:lvl w:ilvl="0" w:tplc="E25EB56C">
      <w:start w:val="32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CC"/>
    <w:rsid w:val="000560EE"/>
    <w:rsid w:val="000B7AD3"/>
    <w:rsid w:val="00201A8B"/>
    <w:rsid w:val="002849AB"/>
    <w:rsid w:val="00413DCC"/>
    <w:rsid w:val="0043778B"/>
    <w:rsid w:val="0048639A"/>
    <w:rsid w:val="00564332"/>
    <w:rsid w:val="00680F2B"/>
    <w:rsid w:val="007D2D9D"/>
    <w:rsid w:val="009665FC"/>
    <w:rsid w:val="00C0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5D030"/>
  <w15:docId w15:val="{9FFADD17-E0C0-4220-9CA5-536D3AD1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13DCC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13DCC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413DC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413D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3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Queen Mbanuzue</cp:lastModifiedBy>
  <cp:revision>3</cp:revision>
  <cp:lastPrinted>2012-02-20T20:01:00Z</cp:lastPrinted>
  <dcterms:created xsi:type="dcterms:W3CDTF">2016-11-21T05:49:00Z</dcterms:created>
  <dcterms:modified xsi:type="dcterms:W3CDTF">2016-11-21T05:51:00Z</dcterms:modified>
</cp:coreProperties>
</file>